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Itatiaia, 23de setembro de 2025.</w:t>
      </w:r>
    </w:p>
    <w:p w:rsidR="00000000" w:rsidDel="00000000" w:rsidP="00000000" w:rsidRDefault="00000000" w:rsidRPr="00000000" w14:paraId="0000000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Processo Administrativo: </w:t>
      </w:r>
      <w:r w:rsidDel="00000000" w:rsidR="00000000" w:rsidRPr="00000000">
        <w:rPr>
          <w:rFonts w:ascii="Times New Roman" w:cs="Times New Roman" w:eastAsia="Times New Roman" w:hAnsi="Times New Roman"/>
          <w:rtl w:val="0"/>
        </w:rPr>
        <w:t xml:space="preserve">15166/2025.</w:t>
      </w:r>
    </w:p>
    <w:p w:rsidR="00000000" w:rsidDel="00000000" w:rsidP="00000000" w:rsidRDefault="00000000" w:rsidRPr="00000000" w14:paraId="00000005">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Requerente: </w:t>
      </w:r>
      <w:r w:rsidDel="00000000" w:rsidR="00000000" w:rsidRPr="00000000">
        <w:rPr>
          <w:rFonts w:ascii="Times New Roman" w:cs="Times New Roman" w:eastAsia="Times New Roman" w:hAnsi="Times New Roman"/>
          <w:rtl w:val="0"/>
        </w:rPr>
        <w:t xml:space="preserve">Secretaria Municipal de Administração.</w:t>
      </w:r>
    </w:p>
    <w:p w:rsidR="00000000" w:rsidDel="00000000" w:rsidP="00000000" w:rsidRDefault="00000000" w:rsidRPr="00000000" w14:paraId="0000000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Objeto: </w:t>
      </w:r>
      <w:r w:rsidDel="00000000" w:rsidR="00000000" w:rsidRPr="00000000">
        <w:rPr>
          <w:rFonts w:ascii="Times New Roman" w:cs="Times New Roman" w:eastAsia="Times New Roman" w:hAnsi="Times New Roman"/>
          <w:rtl w:val="0"/>
        </w:rPr>
        <w:t xml:space="preserve">Apresentação artística.</w:t>
      </w:r>
    </w:p>
    <w:p w:rsidR="00000000" w:rsidDel="00000000" w:rsidP="00000000" w:rsidRDefault="00000000" w:rsidRPr="00000000" w14:paraId="0000000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Modalidade: </w:t>
      </w:r>
      <w:r w:rsidDel="00000000" w:rsidR="00000000" w:rsidRPr="00000000">
        <w:rPr>
          <w:rFonts w:ascii="Times New Roman" w:cs="Times New Roman" w:eastAsia="Times New Roman" w:hAnsi="Times New Roman"/>
          <w:rtl w:val="0"/>
        </w:rPr>
        <w:t xml:space="preserve">Inexigibilidade de licitação.</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RELATÓRIO</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processo trata da contratação da cantora Sandra de Sá, por meio de inexigibilidade de licitação, para apresentação no evento 1º Edição do Primavera Beer Fest de Penedo, realizado no dia 31 de outubro de 2025. O processo foi encaminhado à Controladoria para análise e relatório.</w:t>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CONSTAM NOS AUTOS: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Memorando n.</w:t>
      </w:r>
      <w:r w:rsidDel="00000000" w:rsidR="00000000" w:rsidRPr="00000000">
        <w:rPr>
          <w:rFonts w:ascii="Times New Roman" w:cs="Times New Roman" w:eastAsia="Times New Roman" w:hAnsi="Times New Roman"/>
          <w:rtl w:val="0"/>
        </w:rPr>
        <w:t xml:space="preserve">713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/2025 solicitando contratação do serviço, fl.02 a </w:t>
      </w:r>
      <w:r w:rsidDel="00000000" w:rsidR="00000000" w:rsidRPr="00000000">
        <w:rPr>
          <w:rFonts w:ascii="Times New Roman" w:cs="Times New Roman" w:eastAsia="Times New Roman" w:hAnsi="Times New Roman"/>
          <w:rtl w:val="0"/>
        </w:rPr>
        <w:t xml:space="preserve">03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ETP – Estudo Técnico Preliminar, fls.</w:t>
      </w:r>
      <w:r w:rsidDel="00000000" w:rsidR="00000000" w:rsidRPr="00000000">
        <w:rPr>
          <w:rFonts w:ascii="Times New Roman" w:cs="Times New Roman" w:eastAsia="Times New Roman" w:hAnsi="Times New Roman"/>
          <w:rtl w:val="0"/>
        </w:rPr>
        <w:t xml:space="preserve">05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08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 – Termo de referência, fls.09 a 14;</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Solicitação de </w:t>
      </w:r>
      <w:r w:rsidDel="00000000" w:rsidR="00000000" w:rsidRPr="00000000">
        <w:rPr>
          <w:rFonts w:ascii="Times New Roman" w:cs="Times New Roman" w:eastAsia="Times New Roman" w:hAnsi="Times New Roman"/>
          <w:rtl w:val="0"/>
        </w:rPr>
        <w:t xml:space="preserve">compra </w:t>
      </w:r>
      <w:r w:rsidDel="00000000" w:rsidR="00000000" w:rsidRPr="00000000">
        <w:rPr>
          <w:rFonts w:ascii="Times New Roman" w:cs="Times New Roman" w:eastAsia="Times New Roman" w:hAnsi="Times New Roman"/>
          <w:rtl w:val="0"/>
        </w:rPr>
        <w:t xml:space="preserve">n.224, fl.15;</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DFD, fl.16;</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roposta comercial, fls.</w:t>
      </w:r>
      <w:r w:rsidDel="00000000" w:rsidR="00000000" w:rsidRPr="00000000">
        <w:rPr>
          <w:rFonts w:ascii="Times New Roman" w:cs="Times New Roman" w:eastAsia="Times New Roman" w:hAnsi="Times New Roman"/>
          <w:rtl w:val="0"/>
        </w:rPr>
        <w:t xml:space="preserve">17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numerar</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Notas fiscais de serviços prestados, fls.</w:t>
      </w:r>
      <w:r w:rsidDel="00000000" w:rsidR="00000000" w:rsidRPr="00000000">
        <w:rPr>
          <w:rFonts w:ascii="Times New Roman" w:cs="Times New Roman" w:eastAsia="Times New Roman" w:hAnsi="Times New Roman"/>
          <w:rtl w:val="0"/>
        </w:rPr>
        <w:t xml:space="preserve">18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20;</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Apresentação do artista e documentos da empresa representante, fls.</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Solicitação de compra</w:t>
      </w:r>
      <w:r w:rsidDel="00000000" w:rsidR="00000000" w:rsidRPr="00000000">
        <w:rPr>
          <w:rFonts w:ascii="Times New Roman" w:cs="Times New Roman" w:eastAsia="Times New Roman" w:hAnsi="Times New Roman"/>
          <w:rtl w:val="0"/>
        </w:rPr>
        <w:t xml:space="preserve"> n 224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/2025, fl.</w:t>
      </w:r>
      <w:r w:rsidDel="00000000" w:rsidR="00000000" w:rsidRPr="00000000">
        <w:rPr>
          <w:rFonts w:ascii="Times New Roman" w:cs="Times New Roman" w:eastAsia="Times New Roman" w:hAnsi="Times New Roman"/>
          <w:rtl w:val="0"/>
        </w:rPr>
        <w:t xml:space="preserve">61;assinar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84.338582677165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Quadro comparativo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w:t>
      </w:r>
      <w:r w:rsidDel="00000000" w:rsidR="00000000" w:rsidRPr="00000000">
        <w:rPr>
          <w:rFonts w:ascii="Times New Roman" w:cs="Times New Roman" w:eastAsia="Times New Roman" w:hAnsi="Times New Roman"/>
          <w:rtl w:val="0"/>
        </w:rPr>
        <w:t xml:space="preserve">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numPr>
          <w:ilvl w:val="0"/>
          <w:numId w:val="2"/>
        </w:numPr>
        <w:spacing w:after="0" w:lineRule="auto"/>
        <w:ind w:left="992.1259842519685" w:hanging="283.4645669291337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Nota de bloqueio orçamentário, declaração de adequação orçamentária e financeira e relatório de estimativa do impacto orçamentário, com elemento de despesa 3.3.90.39 (outros serviços de terceiros – PJ) no valor de R$</w:t>
      </w:r>
      <w:r w:rsidDel="00000000" w:rsidR="00000000" w:rsidRPr="00000000">
        <w:rPr>
          <w:rFonts w:ascii="Times New Roman" w:cs="Times New Roman" w:eastAsia="Times New Roman" w:hAnsi="Times New Roman"/>
          <w:rtl w:val="0"/>
        </w:rPr>
        <w:t xml:space="preserve">75.500,00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fls.</w:t>
      </w:r>
      <w:r w:rsidDel="00000000" w:rsidR="00000000" w:rsidRPr="00000000">
        <w:rPr>
          <w:rFonts w:ascii="Times New Roman" w:cs="Times New Roman" w:eastAsia="Times New Roman" w:hAnsi="Times New Roman"/>
          <w:rtl w:val="0"/>
        </w:rPr>
        <w:t xml:space="preserve">64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66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numPr>
          <w:ilvl w:val="0"/>
          <w:numId w:val="2"/>
        </w:numPr>
        <w:spacing w:after="0" w:lineRule="auto"/>
        <w:ind w:left="992.1259842519685"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Documentação da empresa, fl. 67 a 68;</w:t>
      </w:r>
    </w:p>
    <w:p w:rsidR="00000000" w:rsidDel="00000000" w:rsidP="00000000" w:rsidRDefault="00000000" w:rsidRPr="00000000" w14:paraId="00000017">
      <w:pPr>
        <w:numPr>
          <w:ilvl w:val="0"/>
          <w:numId w:val="2"/>
        </w:numPr>
        <w:spacing w:after="0" w:lineRule="auto"/>
        <w:ind w:left="992.1259842519685" w:hanging="283.46456692913375"/>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Minuta do contrato, fl. 69 a 73;</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OBSERVAÇÕES</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line="240" w:lineRule="auto"/>
        <w:ind w:firstLine="708"/>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Coleta de preços</w:t>
      </w:r>
    </w:p>
    <w:p w:rsidR="00000000" w:rsidDel="00000000" w:rsidP="00000000" w:rsidRDefault="00000000" w:rsidRPr="00000000" w14:paraId="0000001C">
      <w:pPr>
        <w:spacing w:after="0" w:line="240" w:lineRule="auto"/>
        <w:ind w:firstLine="708"/>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D">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Destacamos que é responsabilidade do Departamento de Compras a formação do preço de mercado cumprindo da Súmula TCE/RJ nº02/2018 e de acordo com as especificações do item solicitado pela secretaria no termo de referência, obedecendo a critérios de amplitude e diversificação de maneira a possibilitar as aquisições pelos melhores preços e dos itens corretos.  </w:t>
      </w:r>
    </w:p>
    <w:p w:rsidR="00000000" w:rsidDel="00000000" w:rsidP="00000000" w:rsidRDefault="00000000" w:rsidRPr="00000000" w14:paraId="0000001E">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ind w:firstLine="708"/>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Publicações</w:t>
      </w:r>
    </w:p>
    <w:p w:rsidR="00000000" w:rsidDel="00000000" w:rsidP="00000000" w:rsidRDefault="00000000" w:rsidRPr="00000000" w14:paraId="00000020">
      <w:pPr>
        <w:spacing w:after="0" w:line="240" w:lineRule="auto"/>
        <w:ind w:firstLine="708"/>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Ressaltamos que é responsabilidade do setor de licitação a verificação da documentação das empresas, bem como a publicação dos atos administrativos como determina a lei 14.133/21, e os lançamentos do SIGFIS, seguindo os prazos previstos na legislação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Segregação de funções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Observamos a jurisprudência do TCU com relação à responsabilização do agente na prática dos atos administrativos, sendo necessária a segregação de funções para que os atos processuais aconteçam na melhor forma de controle possível, de maneira que a despesa seja liquidada dentro dos padrões constantes da Instrução Normativa CGM 001/2022 e do Decreto Municipal nº 3.316/2019, no que tange a liquidação e pagamento da despesa de forma a obedecer à ordem cronológica.</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Inexigibilidade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cediço que para adquirir bens ou contratar serviços por meio de inexigibilidade de licitação o poder público deve observar: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14.133/2021, Art. 74, (...)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II - contratação de profissional do setor artístico, diretamente ou por meio de empresário exclusivo, desde que consagrado pela crítica especializada ou pela opinião pública;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Nessa hipótese, a competição torna-se inviável pela dificuldade ou impossibilidade de estabelecimento de comparação objetiva entre os profissionais passíveis de serem contratados. Saliente-se que a inexigibilidade só é aplicável para contratar artistas singulares, consagrados pela crítica especializada ou pela opinião pública.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contratação do artista deve ser realizada diretamente com o profissional ou por meio de empresário exclusivo. De acordo com a Lei, a representação do empresário não pode ser limitada a um evento ou local específico, nem ao âmbito municipal. É exigido que a representação seja permanente e contínua, em âmbito nacional ou estadual.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 destacar também que outra forma de contratação possível que garante a viabilidade e a vantajosidade para a Administração em condições padronizadas é a utilização de credenciamento, na hipótese do art. 79, I, da Lei 14.133/2021, para a contratação de artistas locais, compreendidos como profissionais que prestam serviços artísticos, observadas as regras da legislação sobre a matéria e as previsões constantes do regulamento próprio, editado pelo Município.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relação à cotação de preços, a razoabilidade do valor das contratações decorrentes de inexigibilidade de licitação poderá ser aferida por meio da comparação da proposta apresentada com os preços praticados pelo futuro contratado junto a outros entes públicos e/ou privados, ou outros meios igualmente idôneos. Sendo assim, observamos a junção de notas fiscais de serviços prestados para outras Pessoas Jurídicas.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Sugerimos ao Setor responsável avaliar a inserção na minuta contratual cláusula suficiente de liquidação de despesa que alcance a possível antecipação da mesma, tendo em vista que em casos de shows, eventos e produções artísticas, é comum solicitação de tal adiantamento. Assim, para maior segurança e para que a antecipação de parte do pagamento seja possível, deve à mesma estar prevista no instrumento convocatório e/ou no contrato. Além disso, a fim de contingência dos riscos a que se expõe a Administração, o pagamento antecipado deverá fazer-se acompanhar de prestação de garantia por parte do contratado ou disposição objetiva sobre a devolução integral do valor antecipado, quando não executado o objeto.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MANIFESTAMOS: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Colher assinaturas.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Encaminhar para a PGM para análise da minuta do contrato administrativo e dos requisitos da inexigibilidade.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94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Ao departamento de licitações.</w:t>
      </w:r>
    </w:p>
    <w:p w:rsidR="00000000" w:rsidDel="00000000" w:rsidP="00000000" w:rsidRDefault="00000000" w:rsidRPr="00000000" w14:paraId="0000003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João Paulo Perez dos Anjos</w:t>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Mat.44.718</w:t>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Controladoria Geral do Município</w:t>
      </w:r>
    </w:p>
    <w:sectPr>
      <w:headerReference r:id="rId7" w:type="default"/>
      <w:headerReference r:id="rId8" w:type="first"/>
      <w:headerReference r:id="rId9" w:type="even"/>
      <w:footerReference r:id="rId10" w:type="default"/>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134475" cy="190500"/>
          <wp:effectExtent b="0" l="0" r="0" t="0"/>
          <wp:docPr id="2124121703"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9134475"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25.15pt;height:499.3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410950" cy="247650"/>
          <wp:effectExtent b="0" l="0" r="0" t="0"/>
          <wp:docPr id="2124121702" name="image2.png"/>
          <a:graphic>
            <a:graphicData uri="http://schemas.openxmlformats.org/drawingml/2006/picture">
              <pic:pic>
                <pic:nvPicPr>
                  <pic:cNvPr id="0" name="image2.png"/>
                  <pic:cNvPicPr preferRelativeResize="0"/>
                </pic:nvPicPr>
                <pic:blipFill>
                  <a:blip r:embed="rId1"/>
                  <a:srcRect b="51851" l="0" r="0" t="0"/>
                  <a:stretch>
                    <a:fillRect/>
                  </a:stretch>
                </pic:blipFill>
                <pic:spPr>
                  <a:xfrm>
                    <a:off x="0" y="0"/>
                    <a:ext cx="11410950"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1701"/>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drawing>
        <wp:inline distB="114300" distT="114300" distL="114300" distR="114300">
          <wp:extent cx="4568803" cy="687038"/>
          <wp:effectExtent b="0" l="0" r="0" t="0"/>
          <wp:docPr id="2124121704" name="image1.png"/>
          <a:graphic>
            <a:graphicData uri="http://schemas.openxmlformats.org/drawingml/2006/picture">
              <pic:pic>
                <pic:nvPicPr>
                  <pic:cNvPr id="0" name="image1.png"/>
                  <pic:cNvPicPr preferRelativeResize="0"/>
                </pic:nvPicPr>
                <pic:blipFill>
                  <a:blip r:embed="rId2"/>
                  <a:srcRect b="13968" l="729" r="-729" t="0"/>
                  <a:stretch>
                    <a:fillRect/>
                  </a:stretch>
                </pic:blipFill>
                <pic:spPr>
                  <a:xfrm>
                    <a:off x="0" y="0"/>
                    <a:ext cx="4568803" cy="687038"/>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334.5pt;height:393.1pt;rotation:0;z-index:-503316481;mso-position-horizontal-relative:margin;mso-position-horizontal:absolute;margin-left:99.7pt;mso-position-vertical-relative:margin;mso-position-vertical:absolute;margin-top:148.85pt;" alt="" type="#_x0000_t75">
          <v:imagedata cropbottom="0f" cropleft="0f" cropright="0f" croptop="0f" r:id="rId3" o:title="image3.png"/>
        </v:shape>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5934075</wp:posOffset>
          </wp:positionH>
          <wp:positionV relativeFrom="paragraph">
            <wp:posOffset>66675</wp:posOffset>
          </wp:positionV>
          <wp:extent cx="1159510" cy="723265"/>
          <wp:effectExtent b="0" l="0" r="0" t="0"/>
          <wp:wrapNone/>
          <wp:docPr id="2124121705"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159510" cy="7232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25.15pt;height:499.3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906A5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06A51"/>
  </w:style>
  <w:style w:type="paragraph" w:styleId="Rodap">
    <w:name w:val="footer"/>
    <w:basedOn w:val="Normal"/>
    <w:link w:val="RodapChar"/>
    <w:uiPriority w:val="99"/>
    <w:unhideWhenUsed w:val="1"/>
    <w:rsid w:val="00906A51"/>
    <w:pPr>
      <w:tabs>
        <w:tab w:val="center" w:pos="4252"/>
        <w:tab w:val="right" w:pos="8504"/>
      </w:tabs>
      <w:spacing w:after="0" w:line="240" w:lineRule="auto"/>
    </w:pPr>
  </w:style>
  <w:style w:type="character" w:styleId="RodapChar" w:customStyle="1">
    <w:name w:val="Rodapé Char"/>
    <w:basedOn w:val="Fontepargpadro"/>
    <w:link w:val="Rodap"/>
    <w:uiPriority w:val="99"/>
    <w:rsid w:val="00906A51"/>
  </w:style>
  <w:style w:type="paragraph" w:styleId="Textodebalo">
    <w:name w:val="Balloon Text"/>
    <w:basedOn w:val="Normal"/>
    <w:link w:val="TextodebaloChar"/>
    <w:uiPriority w:val="99"/>
    <w:semiHidden w:val="1"/>
    <w:unhideWhenUsed w:val="1"/>
    <w:rsid w:val="00634BC5"/>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634BC5"/>
    <w:rPr>
      <w:rFonts w:ascii="Tahoma" w:cs="Tahoma" w:hAnsi="Tahoma"/>
      <w:sz w:val="16"/>
      <w:szCs w:val="16"/>
    </w:rPr>
  </w:style>
  <w:style w:type="paragraph" w:styleId="PargrafodaLista">
    <w:name w:val="List Paragraph"/>
    <w:basedOn w:val="Normal"/>
    <w:uiPriority w:val="34"/>
    <w:qFormat w:val="1"/>
    <w:rsid w:val="002020B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GO14uvqmdgnwDdsHgJPsG2hLw==">CgMxLjA4AHIhMWNZNEdwSVIyUDllM3prTml1T1lzQnFPT1dHZDNPRmhV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2025-09-01T18:18:00Z</dcterms:created>
  <dc:creator>PREF MUN ITATIAIA</dc:creator>
</cp:coreProperties>
</file>