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5F" w:rsidRPr="00E3746C" w:rsidRDefault="0021465F">
      <w:pPr>
        <w:pStyle w:val="Cabealho"/>
        <w:rPr>
          <w:rFonts w:ascii="Times New Roman" w:hAnsi="Times New Roman" w:cs="Times New Roman"/>
        </w:rPr>
      </w:pPr>
    </w:p>
    <w:p w:rsidR="00000000" w:rsidRPr="00E3746C" w:rsidRDefault="0001166E">
      <w:pPr>
        <w:pStyle w:val="titulo"/>
        <w:jc w:val="center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PARECER 0345/2025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8930"/>
      </w:tblGrid>
      <w:tr w:rsidR="00000000" w:rsidRPr="00E3746C">
        <w:trPr>
          <w:divId w:val="39402903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12/06/2025</w:t>
            </w:r>
          </w:p>
        </w:tc>
      </w:tr>
      <w:tr w:rsidR="00000000" w:rsidRPr="00E3746C">
        <w:trPr>
          <w:divId w:val="39402903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Processo: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8064/2025</w:t>
            </w:r>
          </w:p>
        </w:tc>
      </w:tr>
      <w:tr w:rsidR="00000000" w:rsidRPr="00E3746C">
        <w:trPr>
          <w:divId w:val="39402903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Modalidade: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461872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Contratação de serviço</w:t>
            </w:r>
          </w:p>
        </w:tc>
      </w:tr>
      <w:tr w:rsidR="00000000" w:rsidRPr="00E3746C">
        <w:trPr>
          <w:divId w:val="394029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Assunto: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Contratação de empresa para obra e serviço de engenharia para construção do centro de saúde integrado de Penedo, Itatiaia, RJ.</w:t>
            </w:r>
          </w:p>
        </w:tc>
      </w:tr>
      <w:tr w:rsidR="00000000" w:rsidRPr="00E3746C">
        <w:trPr>
          <w:divId w:val="39402903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Destinatário: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CAROLINA MARTUSCELLO MASSAD FERREIRA SOARES</w:t>
            </w:r>
          </w:p>
        </w:tc>
      </w:tr>
      <w:tr w:rsidR="00000000" w:rsidRPr="00E3746C">
        <w:trPr>
          <w:divId w:val="39402903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01166E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Observações:</w:t>
            </w: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Pr="00E3746C" w:rsidRDefault="00461872">
            <w:pPr>
              <w:pStyle w:val="ptabelacabecalho"/>
              <w:rPr>
                <w:rFonts w:ascii="Times New Roman" w:hAnsi="Times New Roman" w:cs="Times New Roman"/>
                <w:sz w:val="22"/>
                <w:szCs w:val="22"/>
              </w:rPr>
            </w:pPr>
            <w:r w:rsidRPr="00E3746C">
              <w:rPr>
                <w:rFonts w:ascii="Times New Roman" w:hAnsi="Times New Roman" w:cs="Times New Roman"/>
                <w:sz w:val="22"/>
                <w:szCs w:val="22"/>
              </w:rPr>
              <w:t>SMS</w:t>
            </w:r>
          </w:p>
        </w:tc>
      </w:tr>
    </w:tbl>
    <w:p w:rsidR="00000000" w:rsidRPr="00E3746C" w:rsidRDefault="0001166E">
      <w:pPr>
        <w:divId w:val="39402903"/>
        <w:rPr>
          <w:rFonts w:ascii="Times New Roman" w:eastAsia="Times New Roman" w:hAnsi="Times New Roman" w:cs="Times New Roman"/>
          <w:sz w:val="22"/>
          <w:szCs w:val="22"/>
        </w:rPr>
      </w:pPr>
      <w:r w:rsidRPr="00E3746C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000000" w:rsidRPr="00E3746C" w:rsidRDefault="0001166E">
      <w:pPr>
        <w:pStyle w:val="NormalWeb"/>
        <w:spacing w:before="0" w:beforeAutospacing="0" w:after="0" w:afterAutospacing="0"/>
        <w:jc w:val="center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b/>
          <w:bCs/>
          <w:sz w:val="22"/>
          <w:szCs w:val="22"/>
        </w:rPr>
        <w:t>RELATÓRI</w:t>
      </w:r>
      <w:r w:rsidRPr="00E3746C">
        <w:rPr>
          <w:rFonts w:ascii="Times New Roman" w:hAnsi="Times New Roman" w:cs="Times New Roman"/>
          <w:b/>
          <w:bCs/>
          <w:sz w:val="22"/>
          <w:szCs w:val="22"/>
        </w:rPr>
        <w:t>O</w:t>
      </w:r>
    </w:p>
    <w:p w:rsidR="00000000" w:rsidRPr="00E3746C" w:rsidRDefault="0001166E">
      <w:pPr>
        <w:pStyle w:val="NormalWeb"/>
        <w:spacing w:before="240" w:beforeAutospacing="0" w:after="24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1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  <w:r w:rsidRPr="00E3746C">
        <w:rPr>
          <w:rFonts w:ascii="Times New Roman" w:hAnsi="Times New Roman" w:cs="Times New Roman"/>
          <w:sz w:val="22"/>
          <w:szCs w:val="22"/>
        </w:rPr>
        <w:t xml:space="preserve"> </w:t>
      </w:r>
      <w:r w:rsidRPr="00E3746C">
        <w:rPr>
          <w:rFonts w:ascii="Times New Roman" w:hAnsi="Times New Roman" w:cs="Times New Roman"/>
          <w:sz w:val="22"/>
          <w:szCs w:val="22"/>
        </w:rPr>
        <w:t xml:space="preserve">Análise: O exame dos atos realizados nas fases interna do processo demonstrou o que consta nos autos.      </w:t>
      </w:r>
    </w:p>
    <w:p w:rsidR="00000000" w:rsidRPr="00E3746C" w:rsidRDefault="0001166E">
      <w:pPr>
        <w:pStyle w:val="NormalWeb"/>
        <w:spacing w:before="240" w:beforeAutospacing="0" w:after="240" w:afterAutospacing="0"/>
        <w:ind w:right="14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2. Constam nos Autos</w:t>
      </w:r>
      <w:r w:rsidRPr="00E3746C">
        <w:rPr>
          <w:rFonts w:ascii="Times New Roman" w:hAnsi="Times New Roman" w:cs="Times New Roman"/>
          <w:sz w:val="22"/>
          <w:szCs w:val="22"/>
        </w:rPr>
        <w:t>: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proofErr w:type="spellStart"/>
      <w:r w:rsidRPr="00E3746C">
        <w:rPr>
          <w:rFonts w:ascii="Times New Roman" w:hAnsi="Times New Roman" w:cs="Times New Roman"/>
          <w:sz w:val="22"/>
          <w:szCs w:val="22"/>
        </w:rPr>
        <w:t>Memo</w:t>
      </w:r>
      <w:proofErr w:type="spellEnd"/>
      <w:r w:rsidRPr="00E3746C">
        <w:rPr>
          <w:rFonts w:ascii="Times New Roman" w:hAnsi="Times New Roman" w:cs="Times New Roman"/>
          <w:sz w:val="22"/>
          <w:szCs w:val="22"/>
        </w:rPr>
        <w:t xml:space="preserve"> SMS n° 2752/2025, fl. 02/04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Cópia do memorando n°2752/2025, fl. 07/09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ETP, fl. 10/14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Projetos, fl. 15/22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Relatório técnico, fl. 23/32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Memorial descritivo, fl. 33/39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Memória de cálculo, fl. 40/55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Planilha de preços EMOP/</w:t>
      </w:r>
      <w:proofErr w:type="gramStart"/>
      <w:r w:rsidRPr="00E3746C">
        <w:rPr>
          <w:rFonts w:ascii="Times New Roman" w:hAnsi="Times New Roman" w:cs="Times New Roman"/>
          <w:sz w:val="22"/>
          <w:szCs w:val="22"/>
        </w:rPr>
        <w:t>Abril</w:t>
      </w:r>
      <w:proofErr w:type="gramEnd"/>
      <w:r w:rsidRPr="00E3746C">
        <w:rPr>
          <w:rFonts w:ascii="Times New Roman" w:hAnsi="Times New Roman" w:cs="Times New Roman"/>
          <w:sz w:val="22"/>
          <w:szCs w:val="22"/>
        </w:rPr>
        <w:t xml:space="preserve"> e quantidades, fl.56/74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BDI - Composição/Sem desoner</w:t>
      </w:r>
      <w:r w:rsidRPr="00E3746C">
        <w:rPr>
          <w:rFonts w:ascii="Times New Roman" w:hAnsi="Times New Roman" w:cs="Times New Roman"/>
          <w:sz w:val="22"/>
          <w:szCs w:val="22"/>
        </w:rPr>
        <w:t>ação com BDI R$1.830.740,62, fl. 75/76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Cronograma da obra, fl. 77/78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Planilha de composição, fl. 79/82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Planilha de cotação, fl. 83/8</w:t>
      </w:r>
      <w:r w:rsidRPr="00E3746C">
        <w:rPr>
          <w:rFonts w:ascii="Times New Roman" w:hAnsi="Times New Roman" w:cs="Times New Roman"/>
          <w:sz w:val="22"/>
          <w:szCs w:val="22"/>
        </w:rPr>
        <w:t>4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Parcela de maior relevância, fl. 85/86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Solicitação de compra, fl. 87;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Quadro comparativo de preços, fl. 88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Despacho </w:t>
      </w:r>
      <w:r w:rsidRPr="00E3746C">
        <w:rPr>
          <w:rFonts w:ascii="Times New Roman" w:hAnsi="Times New Roman" w:cs="Times New Roman"/>
          <w:sz w:val="22"/>
          <w:szCs w:val="22"/>
        </w:rPr>
        <w:t>da licitação para SMS com dotação para 02 meses, fl. 89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Bloqueio n°</w:t>
      </w:r>
      <w:proofErr w:type="gramStart"/>
      <w:r w:rsidRPr="00E3746C">
        <w:rPr>
          <w:rFonts w:ascii="Times New Roman" w:hAnsi="Times New Roman" w:cs="Times New Roman"/>
          <w:sz w:val="22"/>
          <w:szCs w:val="22"/>
        </w:rPr>
        <w:t>1108417/2025 valor</w:t>
      </w:r>
      <w:proofErr w:type="gramEnd"/>
      <w:r w:rsidRPr="00E3746C">
        <w:rPr>
          <w:rFonts w:ascii="Times New Roman" w:hAnsi="Times New Roman" w:cs="Times New Roman"/>
          <w:sz w:val="22"/>
          <w:szCs w:val="22"/>
        </w:rPr>
        <w:t xml:space="preserve"> R$795.000,00 fl. 90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Declaração do Ordenador de Despesas à fl. 91;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000000" w:rsidRPr="00E3746C" w:rsidRDefault="0001166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Relatório de estimativa do impacto orçamentário, fl. 92</w:t>
      </w:r>
      <w:r w:rsidRPr="00E3746C">
        <w:rPr>
          <w:rFonts w:ascii="Times New Roman" w:hAnsi="Times New Roman" w:cs="Times New Roman"/>
          <w:sz w:val="22"/>
          <w:szCs w:val="22"/>
        </w:rPr>
        <w:t>;</w:t>
      </w:r>
    </w:p>
    <w:p w:rsidR="00000000" w:rsidRPr="00E3746C" w:rsidRDefault="0001166E">
      <w:pPr>
        <w:divId w:val="39402903"/>
        <w:rPr>
          <w:rFonts w:ascii="Times New Roman" w:eastAsia="Times New Roman" w:hAnsi="Times New Roman" w:cs="Times New Roman"/>
          <w:sz w:val="22"/>
          <w:szCs w:val="22"/>
        </w:rPr>
      </w:pP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3. Apontamentos: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-Observamos que a dotação orçamentária contempla apenas dois meses. Sugerimos que seja realizado o bloqueio orçamentário correspondente até o último mês do atual exercício financeiro, em conformidade com o cronograma físico-financeiro da obra e os valores </w:t>
      </w:r>
      <w:r w:rsidRPr="00E3746C">
        <w:rPr>
          <w:rFonts w:ascii="Times New Roman" w:hAnsi="Times New Roman" w:cs="Times New Roman"/>
          <w:sz w:val="22"/>
          <w:szCs w:val="22"/>
        </w:rPr>
        <w:t>previstos para cada etapa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-Em momento oportuno deverá ser indicado fiscal e gestor do contrato e colhida a ciência de ambos. Ressaltamos a importância de que essas funções sejam atribuídas a pessoas distintas, em observância ao princípio da segregação de </w:t>
      </w:r>
      <w:r w:rsidRPr="00E3746C">
        <w:rPr>
          <w:rFonts w:ascii="Times New Roman" w:hAnsi="Times New Roman" w:cs="Times New Roman"/>
          <w:sz w:val="22"/>
          <w:szCs w:val="22"/>
        </w:rPr>
        <w:t>funções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-Observar a divisão de responsabilidade quanto à obtenção das licenças ambientais que são, costumeiramente, de incumbência da empresa contratada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E3746C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-Sugerimos que seja </w:t>
      </w:r>
      <w:r w:rsidR="0001166E" w:rsidRPr="00E3746C">
        <w:rPr>
          <w:rFonts w:ascii="Times New Roman" w:hAnsi="Times New Roman" w:cs="Times New Roman"/>
          <w:sz w:val="22"/>
          <w:szCs w:val="22"/>
        </w:rPr>
        <w:t>incluída justificativa acerca da escolha pelos módulos, tendo em vista que não consta um estudo de custos comparativo entre essa opção e a alvenaria habitual</w:t>
      </w:r>
      <w:r w:rsidR="0001166E"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-Encaminhar para análise da </w:t>
      </w:r>
      <w:proofErr w:type="spellStart"/>
      <w:r w:rsidRPr="00E3746C">
        <w:rPr>
          <w:rFonts w:ascii="Times New Roman" w:hAnsi="Times New Roman" w:cs="Times New Roman"/>
          <w:sz w:val="22"/>
          <w:szCs w:val="22"/>
        </w:rPr>
        <w:t>PGM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r>
        <w:rPr>
          <w:rFonts w:ascii="Times New Roman" w:hAnsi="Times New Roman" w:cs="Times New Roman"/>
          <w:sz w:val="22"/>
          <w:szCs w:val="22"/>
        </w:rPr>
        <w:t>Anexar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TR.</w:t>
      </w:r>
      <w:bookmarkEnd w:id="0"/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-Destaca-se que não cabe a esta Controladoria considerações técn</w:t>
      </w:r>
      <w:r w:rsidRPr="00E3746C">
        <w:rPr>
          <w:rFonts w:ascii="Times New Roman" w:hAnsi="Times New Roman" w:cs="Times New Roman"/>
          <w:sz w:val="22"/>
          <w:szCs w:val="22"/>
        </w:rPr>
        <w:t>icas e nem entrar no mérito sobre a necessidade dos bens e serviços entendidos como necessários ao bom funcionamento desta secretaria, muito menos a forma de execução dos mesmos, o órgão solicitante possui competência, corpo técnico e discricionariedade pa</w:t>
      </w:r>
      <w:r w:rsidRPr="00E3746C">
        <w:rPr>
          <w:rFonts w:ascii="Times New Roman" w:hAnsi="Times New Roman" w:cs="Times New Roman"/>
          <w:sz w:val="22"/>
          <w:szCs w:val="22"/>
        </w:rPr>
        <w:t>ra tal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01166E">
      <w:pPr>
        <w:divId w:val="39402903"/>
        <w:rPr>
          <w:rFonts w:ascii="Times New Roman" w:eastAsia="Times New Roman" w:hAnsi="Times New Roman" w:cs="Times New Roman"/>
          <w:sz w:val="22"/>
          <w:szCs w:val="22"/>
        </w:rPr>
      </w:pP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4. Manifestamos</w:t>
      </w:r>
      <w:r w:rsidRPr="00E3746C">
        <w:rPr>
          <w:rFonts w:ascii="Times New Roman" w:hAnsi="Times New Roman" w:cs="Times New Roman"/>
          <w:sz w:val="22"/>
          <w:szCs w:val="22"/>
        </w:rPr>
        <w:t>:</w:t>
      </w:r>
    </w:p>
    <w:p w:rsidR="00000000" w:rsidRPr="00E3746C" w:rsidRDefault="0001166E">
      <w:pPr>
        <w:divId w:val="39402903"/>
        <w:rPr>
          <w:rFonts w:ascii="Times New Roman" w:eastAsia="Times New Roman" w:hAnsi="Times New Roman" w:cs="Times New Roman"/>
          <w:sz w:val="22"/>
          <w:szCs w:val="22"/>
        </w:rPr>
      </w:pP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      Ressaltamos que este relatório é meramente de cunho </w:t>
      </w:r>
      <w:proofErr w:type="spellStart"/>
      <w:r w:rsidRPr="00E3746C">
        <w:rPr>
          <w:rFonts w:ascii="Times New Roman" w:hAnsi="Times New Roman" w:cs="Times New Roman"/>
          <w:sz w:val="22"/>
          <w:szCs w:val="22"/>
        </w:rPr>
        <w:t>orientativo</w:t>
      </w:r>
      <w:proofErr w:type="spellEnd"/>
      <w:r w:rsidRPr="00E3746C">
        <w:rPr>
          <w:rFonts w:ascii="Times New Roman" w:hAnsi="Times New Roman" w:cs="Times New Roman"/>
          <w:sz w:val="22"/>
          <w:szCs w:val="22"/>
        </w:rPr>
        <w:t xml:space="preserve">, devendo esta secretaria se manifestar apenas no que a compete, ou seja, sobre os elementos que visam o cumprimento do princípio da economicidade. Portanto, </w:t>
      </w:r>
      <w:r w:rsidRPr="00E3746C">
        <w:rPr>
          <w:rFonts w:ascii="Times New Roman" w:hAnsi="Times New Roman" w:cs="Times New Roman"/>
          <w:sz w:val="22"/>
          <w:szCs w:val="22"/>
        </w:rPr>
        <w:t>cabe à decisão final ao Secretário da Pasta quanto ao prosseguimento do processo e demais eventos a ele afetos. Cada setor responde por sua competência quanto à elaboração de planilhas orçamentárias, termo de referência, memória de cálculo, tipo e forma de</w:t>
      </w:r>
      <w:r w:rsidRPr="00E3746C">
        <w:rPr>
          <w:rFonts w:ascii="Times New Roman" w:hAnsi="Times New Roman" w:cs="Times New Roman"/>
          <w:sz w:val="22"/>
          <w:szCs w:val="22"/>
        </w:rPr>
        <w:t xml:space="preserve"> contratação escolhidos e demais riscos existentes na contratação e gestão do contrato. Solicitamos ao Departamento de Licitações que no momento oportuno cumpra o previsto na Deliberação do TCE/RJ, ciente de que o lançamento do SIGFIS é necessário para a c</w:t>
      </w:r>
      <w:r w:rsidRPr="00E3746C">
        <w:rPr>
          <w:rFonts w:ascii="Times New Roman" w:hAnsi="Times New Roman" w:cs="Times New Roman"/>
          <w:sz w:val="22"/>
          <w:szCs w:val="22"/>
        </w:rPr>
        <w:t>ontinuidade do processo.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000000" w:rsidRPr="00E3746C" w:rsidRDefault="0001166E">
      <w:pPr>
        <w:pStyle w:val="NormalWeb"/>
        <w:spacing w:before="240" w:beforeAutospacing="0" w:after="240" w:afterAutospacing="0"/>
        <w:ind w:firstLine="36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 A Nova Lei de Licitações prevê que a concorrência e o pregão seguirão o mesmo rito procedimental - com base nas etapas que já eram usadas no pregão. Além disso, deve-se adotar o pregão sempre que for possível definir de forma obj</w:t>
      </w:r>
      <w:r w:rsidRPr="00E3746C">
        <w:rPr>
          <w:rFonts w:ascii="Times New Roman" w:hAnsi="Times New Roman" w:cs="Times New Roman"/>
          <w:sz w:val="22"/>
          <w:szCs w:val="22"/>
        </w:rPr>
        <w:t xml:space="preserve">etiva os padrões de desempenho e qualidade do produto ou serviço licitado. A partir disso, a modalidade de licitação concorrência é realizada seguindo as seguintes fases: Preparatória; Divulgação do edital de licitação; Apresentação de propostas e lances, </w:t>
      </w:r>
      <w:r w:rsidRPr="00E3746C">
        <w:rPr>
          <w:rFonts w:ascii="Times New Roman" w:hAnsi="Times New Roman" w:cs="Times New Roman"/>
          <w:sz w:val="22"/>
          <w:szCs w:val="22"/>
        </w:rPr>
        <w:t>quando for o caso; Julgamento; Habilitação; Recursal; Homologação. Além disso, em casos excepcionais é possível que a habilitação seja realizada antes da apresentação das propostas e do julgamento. Nestes casos, é fundamental que essa mudança esteja previs</w:t>
      </w:r>
      <w:r w:rsidRPr="00E3746C">
        <w:rPr>
          <w:rFonts w:ascii="Times New Roman" w:hAnsi="Times New Roman" w:cs="Times New Roman"/>
          <w:sz w:val="22"/>
          <w:szCs w:val="22"/>
        </w:rPr>
        <w:t>ta no edital e mediante ato motivado com explicitação dos benefícios decorrentes</w:t>
      </w:r>
      <w:r w:rsidRPr="00E3746C">
        <w:rPr>
          <w:rFonts w:ascii="Times New Roman" w:hAnsi="Times New Roman" w:cs="Times New Roman"/>
          <w:sz w:val="22"/>
          <w:szCs w:val="22"/>
        </w:rPr>
        <w:t>.</w:t>
      </w:r>
    </w:p>
    <w:p w:rsidR="00000000" w:rsidRPr="00E3746C" w:rsidRDefault="0001166E">
      <w:pPr>
        <w:pStyle w:val="NormalWeb"/>
        <w:spacing w:before="0" w:beforeAutospacing="0" w:after="0" w:afterAutospacing="0"/>
        <w:ind w:firstLine="36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     Observamos a jurisprudência do TCU com relação à responsabilização do agente na prática dos atos administrativos, sendo necessária a segregação de funções para que os at</w:t>
      </w:r>
      <w:r w:rsidRPr="00E3746C">
        <w:rPr>
          <w:rFonts w:ascii="Times New Roman" w:hAnsi="Times New Roman" w:cs="Times New Roman"/>
          <w:sz w:val="22"/>
          <w:szCs w:val="22"/>
        </w:rPr>
        <w:t xml:space="preserve">os processuais aconteçam na melhor forma de controle possível, de maneira que a despesa seja liquidada dentro dos padrões constantes da Instrução Normativa CGM e do Decreto Municipal nº 3.316/2019, no que tange a liquidação e pagamento da despesa de forma </w:t>
      </w:r>
      <w:r w:rsidRPr="00E3746C">
        <w:rPr>
          <w:rFonts w:ascii="Times New Roman" w:hAnsi="Times New Roman" w:cs="Times New Roman"/>
          <w:sz w:val="22"/>
          <w:szCs w:val="22"/>
        </w:rPr>
        <w:t>a obedecer à ordem cronológica. Reafirmamos como sempre a importância da diversificação da base de preços nas aquisições utilizando para isso um rol amplo de empresas e diferentes fontes de pesquisa como, por exemplo: contratos anteriores da própria prefei</w:t>
      </w:r>
      <w:r w:rsidRPr="00E3746C">
        <w:rPr>
          <w:rFonts w:ascii="Times New Roman" w:hAnsi="Times New Roman" w:cs="Times New Roman"/>
          <w:sz w:val="22"/>
          <w:szCs w:val="22"/>
        </w:rPr>
        <w:t>tura, contratos de outros órgãos, atas de registro de preços, valores divulgados em publicações técnicas, preços consignados em sistemas de pagamentos, e qualquer outra fonte capaz de retratar o valor de mercado.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000000" w:rsidRPr="00E3746C" w:rsidRDefault="0001166E">
      <w:pPr>
        <w:pStyle w:val="NormalWeb"/>
        <w:spacing w:before="0" w:beforeAutospacing="0" w:after="0" w:afterAutospacing="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 xml:space="preserve">     Destacamos que é responsabilidade do </w:t>
      </w:r>
      <w:r w:rsidRPr="00E3746C">
        <w:rPr>
          <w:rFonts w:ascii="Times New Roman" w:hAnsi="Times New Roman" w:cs="Times New Roman"/>
          <w:sz w:val="22"/>
          <w:szCs w:val="22"/>
        </w:rPr>
        <w:t xml:space="preserve">Departamento de Compras a formação do preço de mercado cumprindo da Súmula TCE/RJ nº02/2018 e de acordo com as especificações dos itens solicitados por cada secretaria no termo de referência, obedecendo critérios de amplitude e diversificação de maneira a </w:t>
      </w:r>
      <w:r w:rsidRPr="00E3746C">
        <w:rPr>
          <w:rFonts w:ascii="Times New Roman" w:hAnsi="Times New Roman" w:cs="Times New Roman"/>
          <w:sz w:val="22"/>
          <w:szCs w:val="22"/>
        </w:rPr>
        <w:t>possibilitar as aquisições pelos melhores preços e dos itens corretos.     </w:t>
      </w:r>
      <w:r w:rsidRPr="00E3746C">
        <w:rPr>
          <w:rFonts w:ascii="Times New Roman" w:hAnsi="Times New Roman" w:cs="Times New Roman"/>
          <w:sz w:val="22"/>
          <w:szCs w:val="22"/>
        </w:rPr>
        <w:t> </w:t>
      </w:r>
    </w:p>
    <w:p w:rsidR="00461872" w:rsidRPr="00E3746C" w:rsidRDefault="0001166E">
      <w:pPr>
        <w:pStyle w:val="NormalWeb"/>
        <w:spacing w:before="0" w:beforeAutospacing="0" w:after="0" w:afterAutospacing="0"/>
        <w:ind w:right="140" w:firstLine="14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sz w:val="22"/>
          <w:szCs w:val="22"/>
        </w:rPr>
        <w:t>       Devem ser saneados e observados os apontamentos desta CGM e PGM em seus pareceres.      </w:t>
      </w:r>
      <w:r w:rsidRPr="00E374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3746C" w:rsidRDefault="00E3746C">
      <w:pPr>
        <w:pStyle w:val="NormalWeb"/>
        <w:spacing w:before="0" w:beforeAutospacing="0" w:after="0" w:afterAutospacing="0"/>
        <w:ind w:right="140" w:firstLine="140"/>
        <w:divId w:val="39402903"/>
        <w:rPr>
          <w:rFonts w:ascii="Times New Roman" w:hAnsi="Times New Roman" w:cs="Times New Roman"/>
          <w:b/>
          <w:bCs/>
          <w:sz w:val="22"/>
          <w:szCs w:val="22"/>
        </w:rPr>
      </w:pPr>
    </w:p>
    <w:p w:rsidR="00000000" w:rsidRPr="00E3746C" w:rsidRDefault="0001166E">
      <w:pPr>
        <w:pStyle w:val="NormalWeb"/>
        <w:spacing w:before="0" w:beforeAutospacing="0" w:after="0" w:afterAutospacing="0"/>
        <w:ind w:right="140" w:firstLine="140"/>
        <w:divId w:val="39402903"/>
        <w:rPr>
          <w:rFonts w:ascii="Times New Roman" w:hAnsi="Times New Roman" w:cs="Times New Roman"/>
          <w:sz w:val="22"/>
          <w:szCs w:val="22"/>
        </w:rPr>
      </w:pPr>
      <w:r w:rsidRPr="00E3746C">
        <w:rPr>
          <w:rFonts w:ascii="Times New Roman" w:hAnsi="Times New Roman" w:cs="Times New Roman"/>
          <w:b/>
          <w:bCs/>
          <w:sz w:val="22"/>
          <w:szCs w:val="22"/>
        </w:rPr>
        <w:t>É o relato. Segue para a Licitação</w:t>
      </w:r>
      <w:r w:rsidRPr="00E3746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00000" w:rsidRDefault="0001166E">
      <w:pPr>
        <w:pStyle w:val="NormalWeb"/>
        <w:spacing w:before="0" w:beforeAutospacing="0" w:after="0" w:afterAutospacing="0"/>
        <w:ind w:right="140" w:firstLine="140"/>
        <w:divId w:val="39402903"/>
      </w:pPr>
    </w:p>
    <w:p w:rsidR="00E3746C" w:rsidRDefault="00E3746C">
      <w:pPr>
        <w:pStyle w:val="NormalWeb"/>
        <w:spacing w:before="0" w:beforeAutospacing="0" w:after="0" w:afterAutospacing="0"/>
        <w:ind w:right="140" w:firstLine="140"/>
        <w:divId w:val="39402903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01166E">
      <w:pPr>
        <w:pStyle w:val="NormalWeb"/>
        <w:spacing w:before="0" w:beforeAutospacing="0" w:after="0" w:afterAutospacing="0"/>
        <w:ind w:right="140" w:firstLine="140"/>
        <w:divId w:val="39402903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00000" w:rsidRDefault="0001166E">
      <w:pPr>
        <w:divId w:val="39402903"/>
        <w:rPr>
          <w:rFonts w:ascii="Arial" w:eastAsia="Times New Roman" w:hAnsi="Arial" w:cs="Arial"/>
        </w:rPr>
      </w:pPr>
    </w:p>
    <w:p w:rsidR="00000000" w:rsidRDefault="0001166E">
      <w:pPr>
        <w:pStyle w:val="NormalWeb"/>
        <w:spacing w:before="0" w:beforeAutospacing="0" w:after="0" w:afterAutospacing="0"/>
        <w:ind w:right="142"/>
        <w:divId w:val="39402903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João Paulo P. dos Anjos          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00000" w:rsidRDefault="0001166E">
      <w:pPr>
        <w:pStyle w:val="NormalWeb"/>
        <w:spacing w:before="0" w:beforeAutospacing="0" w:after="0" w:afterAutospacing="0"/>
        <w:ind w:right="142"/>
        <w:divId w:val="39402903"/>
      </w:pPr>
      <w:r>
        <w:rPr>
          <w:rFonts w:ascii="Times New Roman" w:hAnsi="Times New Roman" w:cs="Times New Roman"/>
          <w:sz w:val="24"/>
          <w:szCs w:val="24"/>
        </w:rPr>
        <w:t>Controlado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000000" w:rsidRPr="00461872" w:rsidRDefault="0001166E" w:rsidP="00461872">
      <w:pPr>
        <w:pStyle w:val="NormalWeb"/>
        <w:spacing w:before="0" w:beforeAutospacing="0" w:after="0" w:afterAutospacing="0"/>
        <w:ind w:right="142"/>
        <w:divId w:val="39402903"/>
      </w:pPr>
      <w:proofErr w:type="spellStart"/>
      <w:r>
        <w:rPr>
          <w:rFonts w:ascii="Times New Roman" w:hAnsi="Times New Roman" w:cs="Times New Roman"/>
          <w:sz w:val="24"/>
          <w:szCs w:val="24"/>
        </w:rPr>
        <w:t>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44.71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000000" w:rsidRPr="00461872">
      <w:headerReference w:type="default" r:id="rId7"/>
      <w:footerReference w:type="default" r:id="rId8"/>
      <w:pgSz w:w="11906" w:h="16838"/>
      <w:pgMar w:top="700" w:right="700" w:bottom="700" w:left="700" w:header="720" w:footer="720" w:gutter="0"/>
      <w:cols w:space="720"/>
      <w:formProt w:val="0"/>
      <w:docGrid w:linePitch="5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166E">
      <w:r>
        <w:separator/>
      </w:r>
    </w:p>
  </w:endnote>
  <w:endnote w:type="continuationSeparator" w:id="0">
    <w:p w:rsidR="00000000" w:rsidRDefault="0001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5F" w:rsidRDefault="0001166E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szCs w:val="17"/>
      </w:rPr>
      <w:t xml:space="preserve"> / </w:t>
    </w:r>
    <w:r>
      <w:rPr>
        <w:szCs w:val="17"/>
      </w:rP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166E">
      <w:r>
        <w:separator/>
      </w:r>
    </w:p>
  </w:footnote>
  <w:footnote w:type="continuationSeparator" w:id="0">
    <w:p w:rsidR="00000000" w:rsidRDefault="0001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5F" w:rsidRDefault="0001166E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265430</wp:posOffset>
          </wp:positionH>
          <wp:positionV relativeFrom="paragraph">
            <wp:posOffset>-234950</wp:posOffset>
          </wp:positionV>
          <wp:extent cx="1093470" cy="109347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space" w:eastAsia="Monospace" w:hAnsi="Monospace" w:cs="Monospace"/>
        <w:b/>
        <w:color w:val="2A00FF"/>
        <w:sz w:val="20"/>
        <w:szCs w:val="20"/>
      </w:rPr>
      <w:t xml:space="preserve"> </w:t>
    </w:r>
    <w:r>
      <w:rPr>
        <w:rFonts w:ascii="Arial" w:hAnsi="Arial" w:cs="Arial"/>
        <w:b/>
        <w:sz w:val="36"/>
        <w:szCs w:val="36"/>
      </w:rPr>
      <w:t>Município de Itatiaia - RJ</w:t>
    </w:r>
  </w:p>
  <w:p w:rsidR="0021465F" w:rsidRDefault="0001166E">
    <w:pPr>
      <w:pStyle w:val="Cabealho"/>
      <w:jc w:val="center"/>
    </w:pPr>
    <w:r>
      <w:rPr>
        <w:rFonts w:ascii="Arial" w:hAnsi="Arial" w:cs="Arial"/>
        <w:b/>
        <w:sz w:val="24"/>
        <w:szCs w:val="24"/>
      </w:rPr>
      <w:t>Estado do Rio de Janeiro</w:t>
    </w:r>
  </w:p>
  <w:p w:rsidR="0021465F" w:rsidRDefault="0001166E">
    <w:pPr>
      <w:pStyle w:val="Cabealho"/>
      <w:jc w:val="center"/>
    </w:pPr>
    <w:r>
      <w:rPr>
        <w:rFonts w:ascii="Arial" w:hAnsi="Arial" w:cs="Arial"/>
        <w:sz w:val="20"/>
        <w:szCs w:val="20"/>
      </w:rPr>
      <w:t>Praça Mariana Rocha Leão, nº 20 - Centro - 27580-000</w:t>
    </w:r>
  </w:p>
  <w:p w:rsidR="0021465F" w:rsidRDefault="0001166E">
    <w:pPr>
      <w:pStyle w:val="Cabealho"/>
      <w:jc w:val="center"/>
    </w:pPr>
    <w:bookmarkStart w:id="1" w:name="__DdeLink__17_283449758"/>
    <w:bookmarkEnd w:id="1"/>
    <w:r>
      <w:rPr>
        <w:rFonts w:ascii="Arial" w:hAnsi="Arial" w:cs="Arial"/>
        <w:sz w:val="20"/>
        <w:szCs w:val="20"/>
      </w:rPr>
      <w:t>CNPJ. 31.846.892/0001-70</w:t>
    </w:r>
  </w:p>
  <w:p w:rsidR="0021465F" w:rsidRDefault="0021465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38FE"/>
    <w:multiLevelType w:val="multilevel"/>
    <w:tmpl w:val="67F6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5F"/>
    <w:rsid w:val="0001166E"/>
    <w:rsid w:val="0021465F"/>
    <w:rsid w:val="00461872"/>
    <w:rsid w:val="00E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70D"/>
  <w15:docId w15:val="{932647A4-6535-43A4-8019-A1310B28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" w:hAnsi="Liberation Serif" w:cs="Lohit Hindi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/>
      <w:sz w:val="16"/>
      <w:szCs w:val="16"/>
    </w:rPr>
  </w:style>
  <w:style w:type="character" w:customStyle="1" w:styleId="SemEspaamentoChar">
    <w:name w:val="Sem Espaçament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Droid Sans Fallback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adro">
    <w:name w:val="Padrão"/>
    <w:qFormat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 w:bidi="ar-SA"/>
    </w:rPr>
  </w:style>
  <w:style w:type="paragraph" w:customStyle="1" w:styleId="Ttuloprincipal">
    <w:name w:val="Título principal"/>
    <w:basedOn w:val="Padro"/>
    <w:qFormat/>
    <w:pPr>
      <w:keepNext/>
      <w:spacing w:before="240" w:after="120"/>
      <w:jc w:val="center"/>
    </w:pPr>
    <w:rPr>
      <w:rFonts w:ascii="Arial" w:hAnsi="Arial" w:cs="Lohit Hindi"/>
      <w:b/>
      <w:bCs/>
      <w:sz w:val="28"/>
      <w:szCs w:val="28"/>
    </w:rPr>
  </w:style>
  <w:style w:type="paragraph" w:styleId="Subttulo">
    <w:name w:val="Subtitle"/>
    <w:basedOn w:val="Ttulo"/>
    <w:qFormat/>
    <w:pPr>
      <w:jc w:val="center"/>
    </w:pPr>
    <w:rPr>
      <w:i/>
      <w:iCs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  <w:rPr>
      <w:rFonts w:ascii="Arial" w:hAnsi="Arial"/>
      <w:sz w:val="17"/>
    </w:rPr>
  </w:style>
  <w:style w:type="paragraph" w:styleId="Textodebalo">
    <w:name w:val="Balloon Text"/>
    <w:basedOn w:val="Padro"/>
    <w:qFormat/>
    <w:pPr>
      <w:spacing w:after="0" w:line="100" w:lineRule="atLeast"/>
    </w:pPr>
    <w:rPr>
      <w:rFonts w:ascii="Tahoma" w:hAnsi="Tahoma"/>
      <w:sz w:val="16"/>
      <w:szCs w:val="16"/>
    </w:rPr>
  </w:style>
  <w:style w:type="paragraph" w:styleId="SemEspaamento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Droid Sans Fallback" w:hAnsi="Calibri"/>
      <w:color w:val="00000A"/>
      <w:sz w:val="22"/>
      <w:szCs w:val="22"/>
      <w:lang w:eastAsia="en-US" w:bidi="ar-SA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ptabelacabecalho">
    <w:name w:val="ptabelacabecalho"/>
    <w:basedOn w:val="Normal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faee</dc:creator>
  <dc:description/>
  <cp:lastModifiedBy>Cliente</cp:lastModifiedBy>
  <cp:revision>4</cp:revision>
  <cp:lastPrinted>2025-06-12T16:45:00Z</cp:lastPrinted>
  <dcterms:created xsi:type="dcterms:W3CDTF">2025-06-12T16:44:00Z</dcterms:created>
  <dcterms:modified xsi:type="dcterms:W3CDTF">2025-06-12T16:48:00Z</dcterms:modified>
  <dc:language>pt-BR</dc:language>
</cp:coreProperties>
</file>